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bookmarkStart w:id="0" w:name="_GoBack"/>
      <w:bookmarkEnd w:id="0"/>
      <w:r>
        <w:rPr>
          <w:rStyle w:val="normaltextrun1"/>
          <w:rFonts w:ascii="Calibri" w:hAnsi="Calibri"/>
          <w:b/>
          <w:bCs/>
          <w:sz w:val="22"/>
          <w:szCs w:val="22"/>
        </w:rPr>
        <w:t>CUMA – Immatriculation de tracteurs et véhicules agricoles 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CONSIDÉRANTque la création de Coopératives de machineries agricoles permet aux producteurs agricoles de mettre en commun l’acquisition et l’utilisation de machinerie agricoles et de réduire les coûts liés aux équipements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 xml:space="preserve">CONSIDÉRANTque le Ministère de l’Agriculture des pêcheries et de l’alimentation reconnaît les CUMA en leur émettant un numéro d’identification matricule (NIM) comme pour toute entreprise agricole et leur accorde également </w:t>
      </w:r>
      <w:r w:rsidRPr="00FA47E1">
        <w:rPr>
          <w:rStyle w:val="normaltextrun1"/>
          <w:rFonts w:ascii="Calibri" w:hAnsi="Calibri"/>
          <w:sz w:val="22"/>
          <w:szCs w:val="22"/>
        </w:rPr>
        <w:t>un soutien technique et</w:t>
      </w:r>
      <w:r>
        <w:rPr>
          <w:rStyle w:val="normaltextrun1"/>
          <w:rFonts w:ascii="Calibri" w:hAnsi="Calibri"/>
          <w:sz w:val="22"/>
          <w:szCs w:val="22"/>
          <w:shd w:val="clear" w:color="auto" w:fill="FFFF00"/>
        </w:rPr>
        <w:t xml:space="preserve"> </w:t>
      </w:r>
      <w:r w:rsidRPr="00FA47E1">
        <w:rPr>
          <w:rStyle w:val="normaltextrun1"/>
          <w:rFonts w:ascii="Calibri" w:hAnsi="Calibri"/>
          <w:sz w:val="22"/>
          <w:szCs w:val="22"/>
        </w:rPr>
        <w:t>financie</w:t>
      </w:r>
      <w:r>
        <w:rPr>
          <w:rStyle w:val="normaltextrun1"/>
          <w:rFonts w:ascii="Calibri" w:hAnsi="Calibri"/>
          <w:sz w:val="22"/>
          <w:szCs w:val="22"/>
        </w:rPr>
        <w:t>r;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CONSIDÉRANTqu’une CUMA ne peut bénéficier du statut d’agriculteur puisque la SAAQ s’appuie sur l’article 2 du Règlement sur l’immatriculation des véhicules routiers qui définit un agriculteur comme suit : une personne membre d’une association accréditée en vertu de la Loi sur les producteurs agricoles (chapitre P-28) ou une personne titulaire de la carte d’enregistrement d’une exploitation agricole délivrée par le ministère de l’Agriculture, des Pêcheries et de l’Alimentation en vertu du décret 54-85 du 16 janvier 1985;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CONSIDÉRANTque l’article 4 du Code de la sécurité routière définit quant à lui l’agriculteur comme suit : une personne physique membre d’une association accréditée en vertu de la Loi sur les producteurs agricoles (</w:t>
      </w:r>
      <w:hyperlink r:id="rId5" w:tgtFrame="_blank" w:history="1">
        <w:r>
          <w:rPr>
            <w:rStyle w:val="normaltextrun1"/>
            <w:rFonts w:ascii="Calibri" w:hAnsi="Calibri"/>
            <w:color w:val="0000FF"/>
            <w:sz w:val="22"/>
            <w:szCs w:val="22"/>
          </w:rPr>
          <w:t>chapitre P-28</w:t>
        </w:r>
      </w:hyperlink>
      <w:r>
        <w:rPr>
          <w:rStyle w:val="normaltextrun1"/>
          <w:rFonts w:ascii="Calibri" w:hAnsi="Calibri"/>
          <w:sz w:val="22"/>
          <w:szCs w:val="22"/>
        </w:rPr>
        <w:t>), une personne propriétaire ou locataire d’une ferme et dont l’agriculture est la principale activité ou une coopérative agricole régie par la Loi sur les coopératives (</w:t>
      </w:r>
      <w:hyperlink r:id="rId6" w:tgtFrame="_blank" w:history="1">
        <w:r>
          <w:rPr>
            <w:rStyle w:val="normaltextrun1"/>
            <w:rFonts w:ascii="Calibri" w:hAnsi="Calibri"/>
            <w:color w:val="0000FF"/>
            <w:sz w:val="22"/>
            <w:szCs w:val="22"/>
          </w:rPr>
          <w:t>chapitre C-67.2</w:t>
        </w:r>
      </w:hyperlink>
      <w:r>
        <w:rPr>
          <w:rStyle w:val="normaltextrun1"/>
          <w:rFonts w:ascii="Calibri" w:hAnsi="Calibri"/>
          <w:sz w:val="22"/>
          <w:szCs w:val="22"/>
        </w:rPr>
        <w:t>) ayant pour objet l’utilisation de matériels agricoles par ses membres;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CONSIDÉRANT que les CUMA pouvaient immatriculer les équipements agricoles au même titre que les producteurs agricoles jusqu’à ce que la SAAQ prenne d’autres orientations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 xml:space="preserve">CONSIDÉRANT que </w:t>
      </w:r>
      <w:r w:rsidRPr="00FA47E1">
        <w:rPr>
          <w:rStyle w:val="normaltextrun1"/>
          <w:rFonts w:ascii="Calibri" w:hAnsi="Calibri"/>
          <w:sz w:val="22"/>
          <w:szCs w:val="22"/>
        </w:rPr>
        <w:t xml:space="preserve">l’Association des coopératives de machineries agricoles du </w:t>
      </w:r>
      <w:r>
        <w:rPr>
          <w:rStyle w:val="normaltextrun1"/>
          <w:rFonts w:ascii="Calibri" w:hAnsi="Calibri"/>
          <w:sz w:val="22"/>
          <w:szCs w:val="22"/>
        </w:rPr>
        <w:t>Canada fait, depuis des mois, sans succès, des représentations pour que soit corrigée cette anomalie et que ses membres retrouvent leurs droits d’immatriculation comme producteurs agricoles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ind w:left="940" w:hanging="940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EN CONSÉQUENCE, le Syndicat de l’UPA de (</w:t>
      </w:r>
      <w:r w:rsidRPr="00FA47E1">
        <w:rPr>
          <w:rStyle w:val="normaltextrun1"/>
          <w:rFonts w:ascii="Calibri" w:hAnsi="Calibri"/>
          <w:sz w:val="22"/>
          <w:szCs w:val="22"/>
          <w:highlight w:val="yellow"/>
        </w:rPr>
        <w:t>METTRE VOTRE RÉGION</w:t>
      </w:r>
      <w:r>
        <w:rPr>
          <w:rStyle w:val="normaltextrun1"/>
          <w:rFonts w:ascii="Calibri" w:hAnsi="Calibri"/>
          <w:sz w:val="22"/>
          <w:szCs w:val="22"/>
        </w:rPr>
        <w:t>), 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numPr>
          <w:ilvl w:val="0"/>
          <w:numId w:val="1"/>
        </w:numPr>
        <w:ind w:left="240" w:firstLine="0"/>
        <w:jc w:val="both"/>
        <w:textAlignment w:val="baseline"/>
        <w:rPr>
          <w:rFonts w:ascii="Calibri" w:hAnsi="Calibri"/>
          <w:sz w:val="22"/>
          <w:szCs w:val="22"/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appuie les démarches de l’Association des CUMA auprès des instances gouvernementales pour corriger cette situation et permettre l’immatriculation des équipements agricoles en propriété des CUMA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numPr>
          <w:ilvl w:val="0"/>
          <w:numId w:val="1"/>
        </w:numPr>
        <w:ind w:left="240" w:firstLine="0"/>
        <w:jc w:val="both"/>
        <w:textAlignment w:val="baseline"/>
        <w:rPr>
          <w:rFonts w:ascii="Calibri" w:hAnsi="Calibri"/>
          <w:sz w:val="22"/>
          <w:szCs w:val="22"/>
          <w:lang w:val="fr-FR"/>
        </w:rPr>
      </w:pPr>
      <w:r>
        <w:rPr>
          <w:rStyle w:val="normaltextrun1"/>
          <w:rFonts w:ascii="Calibri" w:hAnsi="Calibri"/>
          <w:sz w:val="22"/>
          <w:szCs w:val="22"/>
        </w:rPr>
        <w:t>demande à l’Union de faire toutes les démarches nécessaires permettant aux CUMA d’immatriculer les véhicules agricoles comme les producteurs agricoles avant la prochaine saison de culture.</w:t>
      </w: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FA47E1" w:rsidRDefault="00FA47E1" w:rsidP="00FA47E1">
      <w:pPr>
        <w:pStyle w:val="paragraph"/>
        <w:jc w:val="both"/>
        <w:textAlignment w:val="baseline"/>
        <w:rPr>
          <w:lang w:val="fr-FR"/>
        </w:rPr>
      </w:pPr>
      <w:r>
        <w:rPr>
          <w:rStyle w:val="eop"/>
          <w:rFonts w:ascii="Calibri" w:hAnsi="Calibri"/>
          <w:sz w:val="22"/>
          <w:szCs w:val="22"/>
          <w:lang w:val="fr-FR"/>
        </w:rPr>
        <w:t> </w:t>
      </w:r>
    </w:p>
    <w:p w:rsidR="00766BCE" w:rsidRPr="00FA47E1" w:rsidRDefault="00766BCE">
      <w:pPr>
        <w:rPr>
          <w:lang w:val="fr-FR"/>
        </w:rPr>
      </w:pPr>
    </w:p>
    <w:sectPr w:rsidR="00766BCE" w:rsidRPr="00FA47E1" w:rsidSect="00766B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C325A"/>
    <w:multiLevelType w:val="multilevel"/>
    <w:tmpl w:val="3EB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7E1"/>
    <w:rsid w:val="00766BCE"/>
    <w:rsid w:val="00ED0D3B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AB60B0-8650-498B-9D91-EB25848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A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1">
    <w:name w:val="normaltextrun1"/>
    <w:basedOn w:val="Policepardfaut"/>
    <w:rsid w:val="00FA47E1"/>
  </w:style>
  <w:style w:type="character" w:customStyle="1" w:styleId="eop">
    <w:name w:val="eop"/>
    <w:basedOn w:val="Policepardfaut"/>
    <w:rsid w:val="00FA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BABAB"/>
                                                        <w:left w:val="single" w:sz="4" w:space="0" w:color="ABABAB"/>
                                                        <w:bottom w:val="single" w:sz="4" w:space="0" w:color="ABABAB"/>
                                                        <w:right w:val="single" w:sz="4" w:space="0" w:color="ABABAB"/>
                                                      </w:divBdr>
                                                      <w:divsChild>
                                                        <w:div w:id="77891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1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51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98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76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58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37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95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39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08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96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15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62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75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49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94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1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36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93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0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quebec.gouv.qc.ca/fr/showDoc/cs/C-67.2?&amp;digest=" TargetMode="External"/><Relationship Id="rId5" Type="http://schemas.openxmlformats.org/officeDocument/2006/relationships/hyperlink" Target="http://legisquebec.gouv.qc.ca/fr/showDoc/cs/P-28?&amp;diges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AGRI-LANAU .</cp:lastModifiedBy>
  <cp:revision>2</cp:revision>
  <dcterms:created xsi:type="dcterms:W3CDTF">2019-02-01T02:18:00Z</dcterms:created>
  <dcterms:modified xsi:type="dcterms:W3CDTF">2019-02-01T02:18:00Z</dcterms:modified>
</cp:coreProperties>
</file>